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275E45" w:rsidRDefault="00C93885" w:rsidP="00D4794D">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92337BC-9929-489A-BFCB-19E4CC75743A" style="width:450.75pt;height:409.5pt">
            <v:imagedata r:id="rId7" o:title=""/>
          </v:shape>
        </w:pict>
      </w:r>
    </w:p>
    <w:p w:rsidR="002402D9" w:rsidRPr="00275E45" w:rsidRDefault="002402D9">
      <w:pPr>
        <w:sectPr w:rsidR="002402D9" w:rsidRPr="00275E45" w:rsidSect="00D4794D">
          <w:footerReference w:type="default" r:id="rId8"/>
          <w:pgSz w:w="11907" w:h="16839"/>
          <w:pgMar w:top="1134" w:right="1417" w:bottom="1134" w:left="1417" w:header="709" w:footer="709" w:gutter="0"/>
          <w:pgNumType w:start="0"/>
          <w:cols w:space="720"/>
          <w:docGrid w:linePitch="360"/>
        </w:sectPr>
      </w:pPr>
    </w:p>
    <w:p w:rsidR="002402D9" w:rsidRPr="00275E45" w:rsidRDefault="00D4794D" w:rsidP="00D4794D">
      <w:pPr>
        <w:pStyle w:val="Typedudocument"/>
      </w:pPr>
      <w:r w:rsidRPr="00D4794D">
        <w:lastRenderedPageBreak/>
        <w:t>CINNEADH CUR CHUN FEIDHME (AE) …/… ÓN gCOIMISIÚN</w:t>
      </w:r>
    </w:p>
    <w:p w:rsidR="002402D9" w:rsidRPr="00275E45" w:rsidRDefault="00D4794D" w:rsidP="00D4794D">
      <w:pPr>
        <w:pStyle w:val="Datedadoption"/>
      </w:pPr>
      <w:r w:rsidRPr="00D4794D">
        <w:t xml:space="preserve">an </w:t>
      </w:r>
      <w:r w:rsidRPr="00D4794D">
        <w:rPr>
          <w:rStyle w:val="Marker2"/>
        </w:rPr>
        <w:t>XXX</w:t>
      </w:r>
    </w:p>
    <w:p w:rsidR="002402D9" w:rsidRPr="00275E45" w:rsidRDefault="00D4794D" w:rsidP="00D4794D">
      <w:pPr>
        <w:pStyle w:val="Titreobjet"/>
      </w:pPr>
      <w:r w:rsidRPr="00D4794D">
        <w:t>maidir le clásail chonarthacha chaighdeánacha idir rialaitheoirí agus próiseálaithe faoi Airteagal 28(7) de Rialachán (AE) 2016/679 ó Pharlaimint na hEorpa agus ón gComhairle agus Airteagal 29(7) de Rialachán (AE) 2018/1725 ó Pharlaimint na hEorpa agus ón gComhairle</w:t>
      </w:r>
    </w:p>
    <w:p w:rsidR="002402D9" w:rsidRPr="00275E45" w:rsidRDefault="00D4794D" w:rsidP="00D4794D">
      <w:pPr>
        <w:pStyle w:val="IntrtEEE"/>
      </w:pPr>
      <w:r w:rsidRPr="00D4794D">
        <w:t>(Téacs atá ábhartha maidir le LEE)</w:t>
      </w:r>
    </w:p>
    <w:p w:rsidR="002402D9" w:rsidRPr="00275E45" w:rsidRDefault="002402D9" w:rsidP="002402D9">
      <w:pPr>
        <w:pStyle w:val="Institutionquiagit"/>
      </w:pPr>
      <w:r w:rsidRPr="00275E45">
        <w:t>TÁ AN COIMISIÚN EORPACH,</w:t>
      </w:r>
    </w:p>
    <w:p w:rsidR="002402D9" w:rsidRPr="00275E45" w:rsidRDefault="002402D9" w:rsidP="002402D9">
      <w:r w:rsidRPr="00275E45">
        <w:rPr>
          <w:color w:val="000000"/>
        </w:rPr>
        <w:t>Ag féachaint don Chonradh ar Fheidhmiú an Aontais Eorpaigh</w:t>
      </w:r>
      <w:r w:rsidRPr="00275E45">
        <w:t>,</w:t>
      </w:r>
    </w:p>
    <w:p w:rsidR="002402D9" w:rsidRPr="00275E45" w:rsidRDefault="002402D9" w:rsidP="002402D9">
      <w:r w:rsidRPr="00275E45">
        <w:t>Ag féachaint do Rialachán (AE) 2016/679 ó Pharlaimint na hEorpa agus ón gComhairle an 27 Aibreán</w:t>
      </w:r>
      <w:r w:rsidR="00BD421A" w:rsidRPr="00BD421A">
        <w:t> </w:t>
      </w:r>
      <w:r w:rsidRPr="00275E45">
        <w:t xml:space="preserve">2016 maidir le daoine nádúrtha a chosaint i ndáil le sonraí pearsanta a phróiseáil agus maidir le saorghluaiseacht sonraí den sórt sin, agus lena </w:t>
      </w:r>
      <w:r w:rsidR="00BD421A">
        <w:t>n</w:t>
      </w:r>
      <w:r w:rsidR="00BD421A">
        <w:noBreakHyphen/>
      </w:r>
      <w:r w:rsidRPr="00275E45">
        <w:t>aisghairtear Treoir</w:t>
      </w:r>
      <w:r w:rsidR="00BD421A" w:rsidRPr="00BD421A">
        <w:t> </w:t>
      </w:r>
      <w:r w:rsidRPr="00275E45">
        <w:t>95/46/CE (RGCS)</w:t>
      </w:r>
      <w:r w:rsidRPr="00275E45">
        <w:rPr>
          <w:rStyle w:val="FootnoteReference"/>
        </w:rPr>
        <w:footnoteReference w:id="1"/>
      </w:r>
      <w:r w:rsidRPr="00275E45">
        <w:t xml:space="preserve">, agus go háirithe Airteagal 28(7) de, </w:t>
      </w:r>
    </w:p>
    <w:p w:rsidR="002402D9" w:rsidRPr="00275E45" w:rsidRDefault="002402D9" w:rsidP="002402D9">
      <w:r w:rsidRPr="00275E45">
        <w:t>Ag féachaint do Rialachán (AE) 2018/1725 ó Pharlaimint na hEorpa agus ón gComhairle an 23</w:t>
      </w:r>
      <w:r w:rsidR="00BD421A" w:rsidRPr="00BD421A">
        <w:t> </w:t>
      </w:r>
      <w:r w:rsidRPr="00275E45">
        <w:t>Deireadh</w:t>
      </w:r>
      <w:r w:rsidR="00BD421A" w:rsidRPr="00BD421A">
        <w:t> </w:t>
      </w:r>
      <w:r w:rsidRPr="00275E45">
        <w:t>Fómhair</w:t>
      </w:r>
      <w:r w:rsidR="00BD421A" w:rsidRPr="00BD421A">
        <w:t> </w:t>
      </w:r>
      <w:r w:rsidRPr="00275E45">
        <w:t>2018 maidir le daoine nádúrtha a chosaint i ndáil le sonraí pearsanta a phróiseáil ag institiúidí, comhlachtaí, oifigí agus gníomhaireachtaí an Aontais agus maidir le saorghluaiseacht sonraí den sórt sin, agus lena n‐aisghairtear Rialachán (CE) Uimh.</w:t>
      </w:r>
      <w:r w:rsidR="00BD421A" w:rsidRPr="00BD421A">
        <w:t> </w:t>
      </w:r>
      <w:r w:rsidRPr="00275E45">
        <w:t>45/2001 agus Cinneadh Uimh.</w:t>
      </w:r>
      <w:r w:rsidR="00BD421A" w:rsidRPr="00BD421A">
        <w:t> </w:t>
      </w:r>
      <w:r w:rsidRPr="00275E45">
        <w:t>1247/2002/CE (EUDPR)</w:t>
      </w:r>
      <w:r w:rsidRPr="00275E45">
        <w:rPr>
          <w:rStyle w:val="FootnoteReference"/>
        </w:rPr>
        <w:footnoteReference w:id="2"/>
      </w:r>
      <w:r w:rsidRPr="00275E45">
        <w:t>, agus, go háirithe Airteagal 29(7) de,</w:t>
      </w:r>
    </w:p>
    <w:p w:rsidR="002402D9" w:rsidRPr="00275E45" w:rsidRDefault="002402D9" w:rsidP="002402D9">
      <w:r w:rsidRPr="00275E45">
        <w:t>De bharr an mhéid seo a leanas:</w:t>
      </w:r>
    </w:p>
    <w:p w:rsidR="002402D9" w:rsidRPr="00275E45" w:rsidRDefault="002402D9" w:rsidP="00364079">
      <w:pPr>
        <w:pStyle w:val="Considrant"/>
        <w:numPr>
          <w:ilvl w:val="0"/>
          <w:numId w:val="1"/>
        </w:numPr>
      </w:pPr>
      <w:r w:rsidRPr="00275E45">
        <w:t xml:space="preserve">Tá ról ríthábhachtach ag coincheapa an rialaitheora agus an phróiseálaí i gcur i bhfeidhm Rialachán (AE) 2016/679 agus Rialachán (AE) 2018/1725. Is é an rialaitheoir an duine nádúrtha nó dlítheanach, an </w:t>
      </w:r>
      <w:r w:rsidR="00BD421A">
        <w:t>t</w:t>
      </w:r>
      <w:r w:rsidR="00BD421A">
        <w:noBreakHyphen/>
      </w:r>
      <w:r w:rsidRPr="00275E45">
        <w:t>údarás poiblí, an ghníomhaireacht nó an comhlacht eile a chinneann, ina aonar nó i gcomhpháirt, críocha agus modhanna na próiseála ar shonraí pearsanta. Chun críche Rialachán (AE) 2018/1725, ciallaíonn rialaitheoir an institiúid nó an comhlacht de chuid an Aontais nó an ardstiúrthóireacht nó aon eintiteas eagraíochtúil eile a chinneann, ina aonar nó i gcomhpháirt, críocha agus modhanna na próiseála ar shonraí pearsanta. I gcás ina gcinntear críocha agus modhanna na próiseála sin le gníomh sonrach de chuid an Aontais, féadfaidh an tAontas foráil a dhéanamh maidir le rialaitheoir nó maidir leis na critéir shonracha d'ainmniú rialaitheora. Próiseálaí is ea duine nádúrtha nó dlítheanach, údarás poiblí, gníomhaireacht nó comhlacht eile a phróiseálann sonraí pearsanta thar ceann an rialaitheora.</w:t>
      </w:r>
    </w:p>
    <w:p w:rsidR="002402D9" w:rsidRPr="00275E45" w:rsidRDefault="002402D9" w:rsidP="009237D1">
      <w:pPr>
        <w:pStyle w:val="Considrant"/>
      </w:pPr>
      <w:r w:rsidRPr="00275E45">
        <w:t xml:space="preserve">Ba cheart feidhm a bheith ag an tsraith chéanna de chlásail chonarthacha chaighdeánacha maidir leis an ngaol idir rialaitheoirí sonraí agus próiseálaithe sonraí atá faoi réir Rialachán (AE) 2016/679 agus nuair atá siad faoi réir Rialachán (AE) 2018/1725 freisin. Is amhlaidh atá toisc, chun cur chuige comhleanúnach a bheith ann maidir le cosaint sonraí pearsanta ar fud an Aontais agus le saorghluaiseacht sonraí pearsanta san Aontas, go bhfuil na rialacha cosanta sonraí i Rialachán (AE) 2016/679, </w:t>
      </w:r>
      <w:r w:rsidRPr="00275E45">
        <w:lastRenderedPageBreak/>
        <w:t xml:space="preserve">is infheidhme maidir leis an earnáil phoiblí sna Ballstáit, agus na rialacha cosanta sonraí i Rialachán (AE) 2018/1725, is infheidhme maidir le hinstitiúidí, comhlachtaí, oifigí agus gníomhaireachtaí an Aontais, ailínithe, a mhéid is féidir, le chéile. </w:t>
      </w:r>
    </w:p>
    <w:p w:rsidR="002402D9" w:rsidRPr="00275E45" w:rsidRDefault="002402D9" w:rsidP="002402D9">
      <w:pPr>
        <w:pStyle w:val="Considrant"/>
      </w:pPr>
      <w:r w:rsidRPr="00275E45">
        <w:t xml:space="preserve">Chun comhlíonadh cheanglais Rialachán (AE) 2016/679 agus Rialachán (AE) 2018/1725 a áirithiú, nuair a chuirtear gníomhaíochtaí próiseála ar iontaoibh próiseálaí, níor cheart don rialaitheoir ach próiseálaithe a thugann ráthaíochtaí leordhóthanacha a úsáid, go háirithe ó thaobh saineolais, iontaofachta agus acmhainní, chun bearta teicniúla agus eagraíochtúla a chur chun feidhme a chomhlíonfaidh ceanglais Rialachán (AE) 2016/679 agus Rialachán (AE) 2018/1725, lena </w:t>
      </w:r>
      <w:r w:rsidR="00BD421A">
        <w:t>n</w:t>
      </w:r>
      <w:r w:rsidR="00BD421A">
        <w:noBreakHyphen/>
      </w:r>
      <w:r w:rsidRPr="00275E45">
        <w:t>áirítear maidir le slándáil na próiseála.</w:t>
      </w:r>
    </w:p>
    <w:p w:rsidR="002402D9" w:rsidRPr="00275E45" w:rsidRDefault="002402D9" w:rsidP="002402D9">
      <w:pPr>
        <w:pStyle w:val="Considrant"/>
      </w:pPr>
      <w:r w:rsidRPr="00275E45">
        <w:t xml:space="preserve">Rialófar an phróiseáil a dhéanfaidh próiseálaí le conradh nó le gníomh dlí eile faoi dhlí an Aontais nó faoi dhlí Ballstáit atá ina cheangal ar an bpróiseálaí i dtaca leis an rialaitheoir agus ina leagtar amach na heilimintí a liostaítear in Airteagal 28(3) agus (4) de Rialachán (AE) 2016/679 nó Airteagal 29(3) agus (4) de Rialachán (AE) 2018/1725. Is i scríbhinn, lena </w:t>
      </w:r>
      <w:r w:rsidR="00BD421A">
        <w:t>n</w:t>
      </w:r>
      <w:r w:rsidR="00BD421A">
        <w:noBreakHyphen/>
      </w:r>
      <w:r w:rsidRPr="00275E45">
        <w:t>áirítear i bhfoirm leictreonach, a bheidh an conradh nó an gníomh sin.</w:t>
      </w:r>
    </w:p>
    <w:p w:rsidR="002402D9" w:rsidRPr="00275E45" w:rsidRDefault="002402D9" w:rsidP="002402D9">
      <w:pPr>
        <w:pStyle w:val="Considrant"/>
      </w:pPr>
      <w:r w:rsidRPr="00275E45">
        <w:t xml:space="preserve">I gcomhréir le hAirteagal 28(6) de Rialachán (AE) 2016/679 agus le hAirteagal 29(6) de Rialachán (AE) 2018/1725, féadfaidh an rialaitheoir agus an próiseálaí a roghnú conradh aonair a chaibidliú ina mbeidh na heilimintí éigeantacha a leagtar síos in Airteagal 28(3) agus (4) de Rialachán (AE) 2016/679 nó Airteagal 29(3) agus (4) de Rialachán (AE) 2018/1725, faoi seach, nó a roghnú clásail chonarthacha chaighdeánacha arna nglacadh ag an gCoimisiún de bhun Airteagal 28(7) de Rialachán (AE) 2016/679 agus Airteagal 29(7) de Rialachán (AE) 2018/1725 a úsáid go hiomlán nó go páirteach. </w:t>
      </w:r>
    </w:p>
    <w:p w:rsidR="002402D9" w:rsidRPr="00275E45" w:rsidRDefault="002402D9" w:rsidP="002402D9">
      <w:pPr>
        <w:pStyle w:val="Considrant"/>
      </w:pPr>
      <w:r w:rsidRPr="00275E45">
        <w:t xml:space="preserve">Ba cheart an tsaoirse a bheith ag an rialaitheoir agus ag an bpróiseálaí na clásail chonarthacha chaighdeánacha atá sa Chinneadh seo a chur isteach i gconradh níos leithne, agus clásail eile nó coimircí breise a chur isteach ar choinníoll nach mbeidh siad contrártha, go díreach ná go hindíreach, do na clásail chonarthacha chaighdeánacha nó go ndéanfaidís dochar do chearta nó do shaoirsí bunúsacha na ndaoine is ábhar do na sonraí. Úsáidtear na clásail chonarthacha chaighdeánacha d’ainneoin aon oibleagáidí conarthacha atá ar an rialaitheoir agus/nó ar an bpróiseálaí chun a áirithiú go </w:t>
      </w:r>
      <w:r w:rsidR="00BD421A">
        <w:t>n</w:t>
      </w:r>
      <w:r w:rsidR="00BD421A">
        <w:noBreakHyphen/>
      </w:r>
      <w:r w:rsidRPr="00275E45">
        <w:t>urramófar na pribhléidí agus na díolúintí is infheidhme.</w:t>
      </w:r>
    </w:p>
    <w:p w:rsidR="002402D9" w:rsidRPr="00275E45" w:rsidRDefault="002402D9" w:rsidP="002402D9">
      <w:pPr>
        <w:pStyle w:val="Considrant"/>
      </w:pPr>
      <w:r w:rsidRPr="00275E45">
        <w:t xml:space="preserve">Ba cheart idir rialacha substainteacha agus rialacha nós imeachta a chuimsiú sna clásail chonarthacha chaighdeánacha. I gcomhréir le hAirteagal 28(3) de Rialachán (AE) 2016/679 agus le hAirteagal 29(3) de Rialachán (AE) 2018/1725, ba cheart, sna na clásail chonarthacha chaighdeánacha, a chur de cheangal ar an rialaitheoir agus ar an bpróiseálaí ábhar agus fad na próiseála, cineál agus críoch na próiseála, cineál na sonraí pearsanta lena mbaineann, catagóirí na ndaoine is ábhar do na sonraí agus oibleagáidí agus cearta an rialaitheora, a leagan amach. </w:t>
      </w:r>
    </w:p>
    <w:p w:rsidR="002402D9" w:rsidRPr="00275E45" w:rsidRDefault="002402D9" w:rsidP="002402D9">
      <w:pPr>
        <w:pStyle w:val="Considrant"/>
      </w:pPr>
      <w:r w:rsidRPr="00275E45">
        <w:t>De bhun Airteagal 28(3) de Rialachán (AE) 2016/679 agus de bhun Airteagal 29(3) de Rialachán (AE) 2018/1725, ní mór don phróiseálaí an rialaitheoir a chur ar an eolas láithreach, más rud é, dar leis, go sáraíonn treoir ón rialaitheoir Rialachán (AE) 2016/679 nó Rialachán (AE) 2018/1725, nó forálacha eile de chuid an Aontais nó na mBallstát maidir le cosaint sonraí.</w:t>
      </w:r>
    </w:p>
    <w:p w:rsidR="002402D9" w:rsidRPr="00275E45" w:rsidRDefault="005D6D0A" w:rsidP="002402D9">
      <w:pPr>
        <w:pStyle w:val="Considrant"/>
      </w:pPr>
      <w:r w:rsidRPr="00275E45">
        <w:t xml:space="preserve">I gcás ina bhfostóidh próiseálaí próiseálaí eile chun gníomhaíochtaí sonracha a chur i gcrích, ba cheart feidhm a bheith ag na ceanglais shonracha dá dtagraítear in Airteagal 28(2) agus (4) de Rialachán (AE) 2016/679 nó Airteagal 29(2) agus (4) de Rialachán (AE) 2018/1725. Go háirithe, is gá réamhúdarú sonrach nó ginearálta a thabhairt i scríbhinn. Más údarú sonrach nó údarú ginearálta an réamhúdarú sin, ba cheart don chéad phróiseálaí liosta de phróiseálaithe eile a choimeád cothrom le dáta. </w:t>
      </w:r>
    </w:p>
    <w:p w:rsidR="002402D9" w:rsidRPr="00275E45" w:rsidRDefault="002402D9" w:rsidP="002402D9">
      <w:pPr>
        <w:pStyle w:val="Considrant"/>
      </w:pPr>
      <w:r w:rsidRPr="00275E45">
        <w:t xml:space="preserve">Chun ceanglais Airteagal 46(1) de Rialachán (AE) 2016/679 a chomhlíonadh, ghlac an Coimisiún clásail chonarthacha chaighdeánacha de bhun Airteagal 46(2)(c) Rialachán (AE) 2016/679. Comhlíonann na clásail sin freisin ceanglais Airteagal 28(3) agus (4) de Rialachán (AE) 2016/679 maidir le haistrithe sonraí ó rialaitheoirí atá faoi réir Rialachán (AE) 2016/679 chuig próiseálaithe atá lasmuigh de raon feidhme críochach chur i bhfeidhm an Rialacháin sin nó ó phróiseálaithe atá faoi réir Rialachán (AE) 2016/679 chuig fophróiseálaithe atá lasmuigh de raon feidhme críochach an Rialacháin sin. Ní féidir na clásail chonarthacha chaighdeánacha sin a úsáid mar chlásail chonarthacha chaighdeánacha chun críche Chaibidil V de Rialachán (AE) 2016/679. </w:t>
      </w:r>
    </w:p>
    <w:p w:rsidR="002402D9" w:rsidRPr="00275E45" w:rsidRDefault="002402D9" w:rsidP="002402D9">
      <w:pPr>
        <w:pStyle w:val="Considrant"/>
      </w:pPr>
      <w:r w:rsidRPr="00275E45">
        <w:t>Ba cheart do thríú páirtithe a bheith in ann teacht chun bheith ina bpáirtithe sna clásail chonarthacha chaighdeánacha le linn shaolré an chonartha.</w:t>
      </w:r>
    </w:p>
    <w:p w:rsidR="002402D9" w:rsidRPr="00275E45" w:rsidRDefault="002402D9" w:rsidP="002402D9">
      <w:pPr>
        <w:pStyle w:val="Considrant"/>
      </w:pPr>
      <w:r w:rsidRPr="00275E45">
        <w:t xml:space="preserve">Ba cheart meastóireacht a dhéanamh ar fheidhmiú na gclásal conarthach caighdeánach, mar fhochuid den mheastóireacht thréimhsiúil ar Rialachán (AE) 2016/679 dá dtagraítear in Airteagal 97 den Rialachán sin. </w:t>
      </w:r>
    </w:p>
    <w:p w:rsidR="002402D9" w:rsidRPr="00275E45" w:rsidRDefault="00EA7EE3" w:rsidP="00EA7EE3">
      <w:pPr>
        <w:pStyle w:val="Considrant"/>
      </w:pPr>
      <w:r w:rsidRPr="00275E45">
        <w:t xml:space="preserve"> Chuathas i gcomhairle leis an Maoirseoir Eorpach ar Chosaint Sonraí agus leis an mBord Eorpach um Chosaint Sonraí i gcomhréir le hAirteagal 42(1) agus (2) de Rialachán (AE) 2018/1725 agus thug siad tuairim chomhpháirteach an 14</w:t>
      </w:r>
      <w:r w:rsidR="00BD421A" w:rsidRPr="00BD421A">
        <w:t> </w:t>
      </w:r>
      <w:r w:rsidRPr="00275E45">
        <w:t>Eanáir</w:t>
      </w:r>
      <w:r w:rsidR="00BD421A" w:rsidRPr="00BD421A">
        <w:t> </w:t>
      </w:r>
      <w:r w:rsidRPr="00275E45">
        <w:t>2021</w:t>
      </w:r>
      <w:r w:rsidRPr="00275E45">
        <w:rPr>
          <w:rStyle w:val="FootnoteReference"/>
        </w:rPr>
        <w:footnoteReference w:id="3"/>
      </w:r>
      <w:r w:rsidRPr="00275E45">
        <w:t>, tuairim a cuireadh san áireamh agus an Cinneadh seo á ullmhú.</w:t>
      </w:r>
    </w:p>
    <w:p w:rsidR="002402D9" w:rsidRPr="00275E45" w:rsidRDefault="002402D9" w:rsidP="002402D9">
      <w:pPr>
        <w:pStyle w:val="Considrant"/>
      </w:pPr>
      <w:r w:rsidRPr="00275E45">
        <w:t>Tá na bearta dá bhforáiltear sa Chinneadh seo ag teacht leis an tuairim ón gCoiste arna bunú faoi Airteagal 93 de Rialachán (AE) 2016/679 agus Airteagal 96(2) de Rialachán (AE) 2018/1725.</w:t>
      </w:r>
    </w:p>
    <w:p w:rsidR="002402D9" w:rsidRPr="00275E45" w:rsidRDefault="002402D9" w:rsidP="002402D9">
      <w:pPr>
        <w:pStyle w:val="Formuledadoption"/>
      </w:pPr>
      <w:r w:rsidRPr="00275E45">
        <w:t xml:space="preserve">TAR ÉIS AN CINNEADH SEO A GHLACADH: </w:t>
      </w:r>
    </w:p>
    <w:p w:rsidR="002402D9" w:rsidRPr="00275E45" w:rsidRDefault="002402D9" w:rsidP="002402D9">
      <w:pPr>
        <w:pStyle w:val="Titrearticle"/>
      </w:pPr>
      <w:r w:rsidRPr="00275E45">
        <w:t>Airteagal 1</w:t>
      </w:r>
    </w:p>
    <w:p w:rsidR="002402D9" w:rsidRPr="00275E45" w:rsidRDefault="002402D9" w:rsidP="002402D9">
      <w:r w:rsidRPr="00275E45">
        <w:t>Na clásail chonarthacha chaighdeánacha, mar a leagtar amach san Iarscríbhinn iad, comhlíonann siad na ceanglais maidir le conarthaí idir rialaitheoirí agus próiseálaithe in Airteagal 28(3) agus (4) de Rialachán (AE) 2016/679 agus in Airteagal 29(3) agus (4) de Rialachán (AE) 2018/1725.</w:t>
      </w:r>
    </w:p>
    <w:p w:rsidR="002402D9" w:rsidRPr="00275E45" w:rsidRDefault="002402D9" w:rsidP="002402D9">
      <w:pPr>
        <w:pStyle w:val="Titrearticle"/>
      </w:pPr>
      <w:r w:rsidRPr="00275E45">
        <w:t>Airteagal 2</w:t>
      </w:r>
    </w:p>
    <w:p w:rsidR="002402D9" w:rsidRPr="00275E45" w:rsidRDefault="002402D9" w:rsidP="002402D9">
      <w:r w:rsidRPr="00275E45">
        <w:t xml:space="preserve">Féadfar na clásail chonarthacha chaighdeánacha, mar a leagtar amach san Iarscríbhinn iad, a úsáid i gconarthaí idir rialaitheoir agus próiseálaí a phróiseálann sonraí pearsanta thar ceann an rialaitheora. </w:t>
      </w:r>
    </w:p>
    <w:p w:rsidR="002402D9" w:rsidRPr="00275E45" w:rsidRDefault="002402D9" w:rsidP="002402D9">
      <w:pPr>
        <w:pStyle w:val="Titrearticle"/>
      </w:pPr>
      <w:r w:rsidRPr="00275E45">
        <w:t>Airteagal 3</w:t>
      </w:r>
    </w:p>
    <w:p w:rsidR="002402D9" w:rsidRPr="00275E45" w:rsidRDefault="002402D9" w:rsidP="002402D9">
      <w:pPr>
        <w:rPr>
          <w:rFonts w:eastAsia="Calibri"/>
        </w:rPr>
      </w:pPr>
      <w:r w:rsidRPr="00275E45">
        <w:t xml:space="preserve">Déanfaidh an Coimisiún meastóireacht ar chur i bhfeidhm praiticiúil na gclásal conarthach caighdeánach a leagtar amach san Iarscríbhinn ar bhonn na faisnéise uile a bheidh ar fáil mar chuid den mheastóireacht thréimhsiúil dá bhforáiltear in Airteagal 97 de Rialachán (AE) 2016/679. </w:t>
      </w:r>
    </w:p>
    <w:p w:rsidR="002402D9" w:rsidRPr="00275E45" w:rsidRDefault="002402D9" w:rsidP="002402D9">
      <w:pPr>
        <w:pStyle w:val="Titrearticle"/>
      </w:pPr>
      <w:r w:rsidRPr="00275E45">
        <w:t>Airteagal 4</w:t>
      </w:r>
    </w:p>
    <w:p w:rsidR="003A69A2" w:rsidRPr="00275E45" w:rsidRDefault="003A69A2" w:rsidP="00135D70">
      <w:r w:rsidRPr="00275E45">
        <w:t>Tiocfaidh an Cinneadh seo i bhfeidhm an fichiú lá tar éis lá a fhoilsithe in Iris Oifigiúil an Aontais Eorpaigh.</w:t>
      </w:r>
    </w:p>
    <w:p w:rsidR="002402D9" w:rsidRPr="00275E45" w:rsidRDefault="00D4794D" w:rsidP="00D4794D">
      <w:pPr>
        <w:pStyle w:val="Fait"/>
      </w:pPr>
      <w:r w:rsidRPr="00D4794D">
        <w:t>Arna dhéanamh sa Bhruiséil,</w:t>
      </w:r>
    </w:p>
    <w:p w:rsidR="002402D9" w:rsidRPr="00275E45" w:rsidRDefault="002402D9" w:rsidP="002402D9">
      <w:pPr>
        <w:pStyle w:val="Institutionquisigne"/>
        <w:rPr>
          <w:color w:val="000000" w:themeColor="text1"/>
        </w:rPr>
      </w:pPr>
      <w:r w:rsidRPr="00275E45">
        <w:tab/>
      </w:r>
      <w:r w:rsidRPr="00275E45">
        <w:rPr>
          <w:color w:val="000000" w:themeColor="text1"/>
        </w:rPr>
        <w:t>Thar ceann an Choimisiúin</w:t>
      </w:r>
    </w:p>
    <w:p w:rsidR="002402D9" w:rsidRPr="00275E45" w:rsidRDefault="002402D9" w:rsidP="002402D9">
      <w:pPr>
        <w:pStyle w:val="Personnequisigne"/>
      </w:pPr>
      <w:r w:rsidRPr="00275E45">
        <w:tab/>
        <w:t>Ursula VON DER LEYEN</w:t>
      </w:r>
    </w:p>
    <w:p w:rsidR="002402D9" w:rsidRPr="00275E45" w:rsidRDefault="002402D9" w:rsidP="00F476B5">
      <w:pPr>
        <w:pStyle w:val="Personnequisigne"/>
        <w:rPr>
          <w:color w:val="000000" w:themeColor="text1"/>
        </w:rPr>
      </w:pPr>
      <w:r w:rsidRPr="00275E45">
        <w:tab/>
      </w:r>
      <w:r w:rsidRPr="00275E45">
        <w:rPr>
          <w:color w:val="000000" w:themeColor="text1"/>
        </w:rPr>
        <w:t xml:space="preserve">An tUachtarán </w:t>
      </w:r>
    </w:p>
    <w:sectPr w:rsidR="002402D9" w:rsidRPr="00275E45" w:rsidSect="00D4794D">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94D" w:rsidRPr="00D4794D" w:rsidRDefault="00D4794D" w:rsidP="00D4794D">
    <w:pPr>
      <w:pStyle w:val="Footer"/>
      <w:rPr>
        <w:rFonts w:ascii="Arial" w:hAnsi="Arial" w:cs="Arial"/>
        <w:b/>
        <w:sz w:val="48"/>
      </w:rPr>
    </w:pPr>
    <w:r w:rsidRPr="00D4794D">
      <w:rPr>
        <w:rFonts w:ascii="Arial" w:hAnsi="Arial" w:cs="Arial"/>
        <w:b/>
        <w:sz w:val="48"/>
      </w:rPr>
      <w:t>GA</w:t>
    </w:r>
    <w:r w:rsidRPr="00D4794D">
      <w:rPr>
        <w:rFonts w:ascii="Arial" w:hAnsi="Arial" w:cs="Arial"/>
        <w:b/>
        <w:sz w:val="48"/>
      </w:rPr>
      <w:tab/>
    </w:r>
    <w:r w:rsidRPr="00D4794D">
      <w:rPr>
        <w:rFonts w:ascii="Arial" w:hAnsi="Arial" w:cs="Arial"/>
        <w:b/>
        <w:sz w:val="48"/>
      </w:rPr>
      <w:tab/>
    </w:r>
    <w:r w:rsidRPr="00D4794D">
      <w:tab/>
    </w:r>
    <w:r w:rsidRPr="00D4794D">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94D" w:rsidRPr="00D4794D" w:rsidRDefault="00D4794D" w:rsidP="00D4794D">
    <w:pPr>
      <w:pStyle w:val="Footer"/>
      <w:rPr>
        <w:rFonts w:ascii="Arial" w:hAnsi="Arial" w:cs="Arial"/>
        <w:b/>
        <w:sz w:val="48"/>
      </w:rPr>
    </w:pPr>
    <w:r w:rsidRPr="00D4794D">
      <w:rPr>
        <w:rFonts w:ascii="Arial" w:hAnsi="Arial" w:cs="Arial"/>
        <w:b/>
        <w:sz w:val="48"/>
      </w:rPr>
      <w:t>GA</w:t>
    </w:r>
    <w:r w:rsidRPr="00D4794D">
      <w:rPr>
        <w:rFonts w:ascii="Arial" w:hAnsi="Arial" w:cs="Arial"/>
        <w:b/>
        <w:sz w:val="48"/>
      </w:rPr>
      <w:tab/>
    </w:r>
    <w:r>
      <w:fldChar w:fldCharType="begin"/>
    </w:r>
    <w:r>
      <w:instrText xml:space="preserve"> PAGE  \* MERGEFORMAT </w:instrText>
    </w:r>
    <w:r>
      <w:fldChar w:fldCharType="separate"/>
    </w:r>
    <w:r w:rsidR="00C93885">
      <w:rPr>
        <w:noProof/>
      </w:rPr>
      <w:t>1</w:t>
    </w:r>
    <w:r>
      <w:fldChar w:fldCharType="end"/>
    </w:r>
    <w:r>
      <w:tab/>
    </w:r>
    <w:r w:rsidRPr="00D4794D">
      <w:tab/>
    </w:r>
    <w:r w:rsidRPr="00D4794D">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94D" w:rsidRPr="00D4794D" w:rsidRDefault="00D4794D" w:rsidP="00D47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IO</w:t>
      </w:r>
      <w:r w:rsidR="00BD421A">
        <w:rPr>
          <w:lang w:val="en-IE"/>
        </w:rPr>
        <w:t> </w:t>
      </w:r>
      <w:r>
        <w:t>L 119, 4.5.2016, lch. 1.</w:t>
      </w:r>
    </w:p>
  </w:footnote>
  <w:footnote w:id="2">
    <w:p w:rsidR="002402D9" w:rsidRPr="00EA7EE3" w:rsidRDefault="002402D9" w:rsidP="002402D9">
      <w:pPr>
        <w:pStyle w:val="FootnoteText"/>
        <w:ind w:left="284" w:hanging="284"/>
      </w:pPr>
      <w:r>
        <w:rPr>
          <w:rStyle w:val="FootnoteReference"/>
        </w:rPr>
        <w:footnoteRef/>
      </w:r>
      <w:r>
        <w:tab/>
        <w:t>IO</w:t>
      </w:r>
      <w:r w:rsidR="00BD421A">
        <w:rPr>
          <w:lang w:val="en-IE"/>
        </w:rPr>
        <w:t> </w:t>
      </w:r>
      <w:r>
        <w:t>L 295, 21.11.2018, lch. 39.</w:t>
      </w:r>
    </w:p>
  </w:footnote>
  <w:footnote w:id="3">
    <w:p w:rsidR="002402D9" w:rsidRPr="003C5835" w:rsidRDefault="002402D9" w:rsidP="00EA7EE3">
      <w:pPr>
        <w:pStyle w:val="FootnoteText"/>
        <w:ind w:left="284" w:hanging="284"/>
      </w:pPr>
      <w:r>
        <w:rPr>
          <w:rStyle w:val="FootnoteReference"/>
        </w:rPr>
        <w:footnoteRef/>
      </w:r>
      <w:r>
        <w:tab/>
        <w:t>Tuairim Chomhpháirteach ón Maoirseoir Eorpach ar Chosaint Sonraí agus ón mBord Eorpach um Chosaint Sonraí 1/2021 maidir leis an gCinneadh Cur Chun Feidhme ón gCoimisiún Eorpach maidir le clásail chonarthacha chaighdeánacha idir rialaitheoirí agus próiseálaithe le haghaidh ábhair dá dtagraítear in Airteagal 28(7) de Rialachán (AE) 2016/679 agus Airteagal 29(7) de Rialachán (AE)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7:26:0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A92337BC-9929-489A-BFCB-19E4CC75743A"/>
    <w:docVar w:name="LW_COVERPAGE_TYPE" w:val="1"/>
    <w:docVar w:name="LW_CROSSREFERENCE" w:val="&lt;UNUSED&gt;"/>
    <w:docVar w:name="LW_DATE.ADOPT.CP" w:val="an XXX"/>
    <w:docVar w:name="LW_DATE.ADOPT.CP_DATEFORMAT" w:val="an %DATE%"/>
    <w:docVar w:name="LW_DATE.ADOPT.CP_ISODATE" w:val="&lt;EMPTY&gt;"/>
    <w:docVar w:name="LW_DocType" w:val="COM"/>
    <w:docVar w:name="LW_EMISSION" w:val="&lt;EMPTY&gt;"/>
    <w:docVar w:name="LW_EMISSION_ISODATE" w:val="&lt;EMPTY&gt;"/>
    <w:docVar w:name="LW_EMISSION_LOCATION" w:val="BRX"/>
    <w:docVar w:name="LW_EMISSION_PREFIX" w:val="An Bhruiséil,"/>
    <w:docVar w:name="LW_EMISSION_SUFFIX" w:val=" "/>
    <w:docVar w:name="LW_ID_DOCMODEL" w:val="SJ-032"/>
    <w:docVar w:name="LW_ID_DOCSIGNATURE" w:val="SJ-032"/>
    <w:docVar w:name="LW_ID_DOCSTRUCTURE" w:val="COM/AA"/>
    <w:docVar w:name="LW_ID_DOCTYPE" w:val="SJ-032"/>
    <w:docVar w:name="LW_INTERETEEE.CP" w:val="(Téacs atá ábhartha maidir le LEE)"/>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aidir le clásail chonarthacha chaighdeánacha idir rialaitheoirí agus próiseálaithe faoi Airteagal 28(7) de Rialachán (AE) 2016/679 ó Pharlaimint na hEorpa agus ón gComhairle agus Airteagal 29(7) de Rialachán (AE) 2018/1725 ó Pharlaimint na hEorpa agus ón gComhairle"/>
    <w:docVar w:name="LW_TYPE.DOC.CP" w:val="CINNEADH CUR CHUN FEIDHME (AE) \u8230?/\u8230? ÓN gCOIMISIÚN"/>
  </w:docVars>
  <w:rsids>
    <w:rsidRoot w:val="002402D9"/>
    <w:rsid w:val="000A7517"/>
    <w:rsid w:val="000E198E"/>
    <w:rsid w:val="00135D70"/>
    <w:rsid w:val="00151F7C"/>
    <w:rsid w:val="0017374D"/>
    <w:rsid w:val="001C2816"/>
    <w:rsid w:val="002040A1"/>
    <w:rsid w:val="00232E98"/>
    <w:rsid w:val="00237340"/>
    <w:rsid w:val="002402D9"/>
    <w:rsid w:val="00252115"/>
    <w:rsid w:val="002532DA"/>
    <w:rsid w:val="00256CB5"/>
    <w:rsid w:val="00275E45"/>
    <w:rsid w:val="00275FE2"/>
    <w:rsid w:val="002C0FB7"/>
    <w:rsid w:val="00364079"/>
    <w:rsid w:val="003A69A2"/>
    <w:rsid w:val="0048570C"/>
    <w:rsid w:val="004D6C74"/>
    <w:rsid w:val="004F2DF0"/>
    <w:rsid w:val="005951BB"/>
    <w:rsid w:val="005D6D0A"/>
    <w:rsid w:val="005F5DD9"/>
    <w:rsid w:val="006E1BCC"/>
    <w:rsid w:val="0070128F"/>
    <w:rsid w:val="007C06F6"/>
    <w:rsid w:val="007D5587"/>
    <w:rsid w:val="00894AF5"/>
    <w:rsid w:val="009237D1"/>
    <w:rsid w:val="00942512"/>
    <w:rsid w:val="00986B33"/>
    <w:rsid w:val="00986D45"/>
    <w:rsid w:val="00987AD5"/>
    <w:rsid w:val="009A12DF"/>
    <w:rsid w:val="009B7138"/>
    <w:rsid w:val="00AB596B"/>
    <w:rsid w:val="00AE6CDD"/>
    <w:rsid w:val="00BD421A"/>
    <w:rsid w:val="00BE246D"/>
    <w:rsid w:val="00BF17AA"/>
    <w:rsid w:val="00C24556"/>
    <w:rsid w:val="00C93885"/>
    <w:rsid w:val="00CC49B0"/>
    <w:rsid w:val="00D4794D"/>
    <w:rsid w:val="00D60C6C"/>
    <w:rsid w:val="00D64D62"/>
    <w:rsid w:val="00DC435D"/>
    <w:rsid w:val="00DF46BA"/>
    <w:rsid w:val="00DF6773"/>
    <w:rsid w:val="00DF6971"/>
    <w:rsid w:val="00E37448"/>
    <w:rsid w:val="00EA7EE3"/>
    <w:rsid w:val="00ED3E3C"/>
    <w:rsid w:val="00F20062"/>
    <w:rsid w:val="00F476B5"/>
    <w:rsid w:val="00F5232F"/>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rsid w:val="009B713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ga-IE"/>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ga-IE"/>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ga-IE"/>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5"/>
      </w:numPr>
    </w:pPr>
  </w:style>
  <w:style w:type="paragraph" w:customStyle="1" w:styleId="NumPar2">
    <w:name w:val="NumPar 2"/>
    <w:basedOn w:val="Normal"/>
    <w:next w:val="Text1"/>
    <w:rsid w:val="009B7138"/>
    <w:pPr>
      <w:numPr>
        <w:ilvl w:val="1"/>
        <w:numId w:val="15"/>
      </w:numPr>
    </w:pPr>
  </w:style>
  <w:style w:type="paragraph" w:customStyle="1" w:styleId="NumPar3">
    <w:name w:val="NumPar 3"/>
    <w:basedOn w:val="Normal"/>
    <w:next w:val="Text1"/>
    <w:rsid w:val="009B7138"/>
    <w:pPr>
      <w:numPr>
        <w:ilvl w:val="2"/>
        <w:numId w:val="15"/>
      </w:numPr>
    </w:pPr>
  </w:style>
  <w:style w:type="paragraph" w:customStyle="1" w:styleId="NumPar4">
    <w:name w:val="NumPar 4"/>
    <w:basedOn w:val="Normal"/>
    <w:next w:val="Text1"/>
    <w:rsid w:val="009B7138"/>
    <w:pPr>
      <w:numPr>
        <w:ilvl w:val="3"/>
        <w:numId w:val="1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1</TotalTime>
  <Pages>2</Pages>
  <Words>1409</Words>
  <Characters>7923</Characters>
  <Application>Microsoft Office Word</Application>
  <DocSecurity>0</DocSecurity>
  <Lines>134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MCNAMARA Sophie (DGT)</cp:lastModifiedBy>
  <cp:revision>3</cp:revision>
  <dcterms:created xsi:type="dcterms:W3CDTF">2021-05-20T15:25:00Z</dcterms:created>
  <dcterms:modified xsi:type="dcterms:W3CDTF">2021-05-20T15:26:00Z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